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00" w:line="276" w:lineRule="auto"/>
        <w:contextualSpacing w:val="0"/>
        <w:jc w:val="center"/>
      </w:pPr>
      <w:r w:rsidDel="00000000" w:rsidR="00000000" w:rsidRPr="00000000">
        <w:rPr>
          <w:b w:val="1"/>
          <w:rtl w:val="0"/>
        </w:rPr>
        <w:t xml:space="preserve">ГОСУДАРСТВЕННЫЙ СТАНДАРТ РОССИЙСКОЙ ФЕДЕРАЦИИ</w:t>
      </w:r>
    </w:p>
    <w:p w:rsidR="00000000" w:rsidDel="00000000" w:rsidP="00000000" w:rsidRDefault="00000000" w:rsidRPr="00000000">
      <w:pPr>
        <w:spacing w:after="300" w:line="276" w:lineRule="auto"/>
        <w:contextualSpacing w:val="0"/>
        <w:jc w:val="center"/>
      </w:pPr>
      <w:r w:rsidDel="00000000" w:rsidR="00000000" w:rsidRPr="00000000">
        <w:rPr>
          <w:b w:val="1"/>
          <w:rtl w:val="0"/>
        </w:rPr>
        <w:t xml:space="preserve">ГОСТ Р 51715-2001</w:t>
      </w:r>
    </w:p>
    <w:p w:rsidR="00000000" w:rsidDel="00000000" w:rsidP="00000000" w:rsidRDefault="00000000" w:rsidRPr="00000000">
      <w:pPr>
        <w:spacing w:after="300" w:line="276" w:lineRule="auto"/>
        <w:contextualSpacing w:val="0"/>
        <w:jc w:val="center"/>
      </w:pPr>
      <w:r w:rsidDel="00000000" w:rsidR="00000000" w:rsidRPr="00000000">
        <w:rPr>
          <w:b w:val="1"/>
          <w:rtl w:val="0"/>
        </w:rPr>
        <w:t xml:space="preserve">«ДЕКОРАТИВНЫЕ И СУВЕНИРНЫЕ ИЗДЕЛИЯ, СХОДНЫЕ ПО ВНЕШНЕМУ СТРОЕНИЮ С ХОЛОДНЫМ ИЛИ МЕТАТЕЛЬНЫМ ОРУЖИЕМ».</w:t>
      </w:r>
    </w:p>
    <w:p w:rsidR="00000000" w:rsidDel="00000000" w:rsidP="00000000" w:rsidRDefault="00000000" w:rsidRPr="00000000">
      <w:pPr>
        <w:spacing w:after="300" w:line="276" w:lineRule="auto"/>
        <w:contextualSpacing w:val="0"/>
        <w:jc w:val="center"/>
      </w:pPr>
      <w:r w:rsidDel="00000000" w:rsidR="00000000" w:rsidRPr="00000000">
        <w:rPr>
          <w:rtl w:val="0"/>
        </w:rPr>
      </w:r>
    </w:p>
    <w:p w:rsidR="00000000" w:rsidDel="00000000" w:rsidP="00000000" w:rsidRDefault="00000000" w:rsidRPr="00000000">
      <w:pPr>
        <w:spacing w:after="300" w:line="276" w:lineRule="auto"/>
        <w:contextualSpacing w:val="0"/>
        <w:jc w:val="center"/>
      </w:pPr>
      <w:r w:rsidDel="00000000" w:rsidR="00000000" w:rsidRPr="00000000">
        <w:rPr>
          <w:b w:val="1"/>
          <w:i w:val="1"/>
          <w:rtl w:val="0"/>
        </w:rPr>
        <w:t xml:space="preserve">Общие технические условия.</w:t>
      </w:r>
    </w:p>
    <w:p w:rsidR="00000000" w:rsidDel="00000000" w:rsidP="00000000" w:rsidRDefault="00000000" w:rsidRPr="00000000">
      <w:pPr>
        <w:spacing w:after="300" w:line="276" w:lineRule="auto"/>
        <w:contextualSpacing w:val="0"/>
        <w:jc w:val="center"/>
      </w:pPr>
      <w:r w:rsidDel="00000000" w:rsidR="00000000" w:rsidRPr="00000000">
        <w:rPr>
          <w:i w:val="1"/>
          <w:rtl w:val="0"/>
        </w:rPr>
        <w:t xml:space="preserve">Дата введения 2001 год.</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 ОБЛАСТЬ ПРИМЕНЕНИЯ.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Настоящий стандарт распространяется на декоративные и сувенирные изделия, сходные по внешнему строению с холодным или метательным оружием, являющиеся изделиями, предназначенными для украшения интерьера офисов, жилых помещений и т.п.</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1.1. Декоративные и сувенирные изделия, сходные по внешнему строению с холодным и метательным оружием, являются разновидностью изделий хозяйственно-бытового назначения и не относятся к холодному или метательному оружию.</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1.2. Основное назначение декоративных и сувенирных изделий, сходных по внешнему строению с холодным или метательным оружием — украшение интерьеров офисов, жилых помещений и т.п.</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1.3. Декоративные и сувенирные изделия, сходные по внешнему строению с холодным и метательным оружием, в соответствии с требованиями Закона ‘Об оружии’ подлежат обязательной сертификации, в рамках которой проводятся их испытания на соответствие криминалистическим требованиям.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1.4. Настоящий стандарт устанавливает конструктивные и технические требования к указанным декоративным и сувенирным изделиям в соответствии с федеральным Законом ‘Об оружии’, а также другими нормативными документами, регламентирующими их оборот в Российской Федерации, виды и методы контроля на соответствие конструктивным и техническим требованиям.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1.5. Стандарт распространяется на все декоративные и сувенирные изделия (в том числе на импортные изделия), сходные по внешнему строению с холодным, в том числе ударным, метательным оружием.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1.5.1. На подобные изделия, изготовленные самодельным способом, распространяются конструктивные и технические требования, устанавливаемые настоящим стандартом, а также виды и методы контроля, только в части установления и оценки их соответствия декоративным или сувенирным изделиям, относящимся к изделиям хозяйственно-бытового назначения, при проведении криминалистических экспертиз и исследований.</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1.5.2. Все требования настоящего стандарта являются обязательными.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2. НОРМАТИВНЫЕ ССЫЛКИ.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В настоящем стандарте использованы ссылки на следующие стандарты:</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51215-98 ‘Оружие холодное. Термины и определения’, М. 1998 г.;</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Р 51549-2000 ‘Оружие метательное. Спортивные арбалеты и луки. Арбалеты и луки для отдыха и развлечений. Термины и определения’.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166-80 Штангенциркули. Технические условия;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427-75 Линейки измерительные металлические. Технические условия.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ГОСТ 9013-59 (стандарты ИСО 2039/2-81; DIN 50103; ASTM Е 18-74) ‘Металлы. Методы испытаний. Измерение твердости по Роквеллу’.</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 ОПРЕДЕЛЕНИЯ.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В настоящем стандарте применяют следующие термины с соответствующими определениями: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 Холодное оружие — оружие, конструктивно предназначенное для поражения живой цели с помощью мускульной силы человека.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 Тип холодного оружия — группа образцов холодного оружия, характеризующаяся одинаковым комплексом конструктивных признаков.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3.3. Клинковое холодное оружие — холодное оружие, имеющее боевую часть в виде клинка, прочно и неподвижно соединенных с рукоятью.</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 Различают оружие с коротким (до 30 см), средним (от 30 до 50 см) и длинным (свыше 50 см) клинком.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3.4. Гражданское холодное оружие — холодное оружие, разрешенное законодательством для использования гражданами.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3.5. Боевое холодное оружие — военное холодное оружие, состоящее на вооружении государственных военизированных организаций и предназначенное для решения боевых и оперативно-служебных задач.</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Понятие ‘боевое’ используется также как устойчивое словосочетание, давно используемое в литературе по оружию применительно к определенным типам холодного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3.6. Ударное (холодное) оружие — холодное оружие, боевая часть которого представляет собой сосредоточенную массу.</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3.7. Копия холодного оружия — точное воспроизведение образца холодного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3.8. Образец холодного оружия -конкретная конструкция холодного оружия какого-либо типа.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3.9. Макет холодного оружия — модель холодного оружия в пропорционально уменьшенном виде.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3.10. Муляж холодного оружия -точное воспроизведение исключительно внешнего вида холодного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3.11. Клинок — протяженная металлическая боевая часть холодного оружия с острием и одним или двумя лезвиями, являющаяся частью полосы.</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3.12. Хвостовик — часть полосы, служащая для крепления рукояти.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3.13. Рукоять — часть холодного оружия с помощью которой оно удерживается рукою и управляется при применении.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3.14. Метательное (метаемое) оружие — оружие, предназначенное для поражения цели на расстоянии снарядом, получившим направленное движение с помощью механического устройства (либо мускульной силы человека).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3.15. Механическое метательное устройство — устройство, преобразующее накопленную энергию деформации упругих элементов в кинетическую энергию метаемого снаряда.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3.16. Арбалет — механическое метательное устройство, имеющее корпус с закрепленными на нем дугами (дугой) с тетивой, и механизмом их фиксации в напряженном состоянии.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3.17. Лук — механическое метательное устройство, состоящее из дуг (дуги) и тетивы, не имеющее механизмов фиксации упругих элементов в напряженном состоянии.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3.18. Копия арбалета (лука) — точное воссоздание конкретного образца антикварного арбалета (лука).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3.19. Реплика арбалета (лука) — реконструкция или не точное воссоздание образца антикварного арбалета (лука).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3.20. Арбалет (лук) антикварный — арбалет (лук) изготовленный более 50 лет назад.</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3.21. Дуга арбалета (лука) -упругий элемент конструкции арбалета (лука), служащий для накопления энергии.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3.22. Тетива — элемент, предающий накопленную энергию метаемому снаряду.</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3.23. Спусковой механизм — механическое или электромеханическое устройство, обеспечивающее размыкание замка арбалета и освобождение тетивы (каретки) при выстреле.</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3.24. Замок — механизм, фиксирующий центральную часть тетивы (или каретку) арбалета во взведенном состоянии.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3.25. Каретка — устройство, взаимодействующее с вилкой замка и с хвостовой частью метаемого снаряда.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 КОНСТРУКТИВНЫЕ ОСОБЕННОСТИ.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4.1. Декоративные и сувенирные изделия, изготовленные по определенным образцам холодного или метательного оружия соответствуют по внешнему строению конкретным видам имитируемых образцов холодного или метательного оружия, но не должны обладать их боевыми свойствами, либо их боевые свойства должны быть значительно снижены.</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4.2. Декоративные или сувенирные изделия, сходные по внешнему строению с холодным или метательным оружием, должны иметь либо ослабленную конструкцию, либо для их изготовления применены материалы, исключающие их использование в качестве соответствующего боевого или гражданского оружия, являющегося прототипом.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4.3. Декоративные или сувенирные изделия, выполненные по образцам холодного или метательного оружия, могут изготавливаться: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в виде копий образца холодного или метательного оружия с точным воспроизведением его внешнего вида и размерных характеристик, но со значительно ослабленной конструкцией, практически лишающей изделие боевых свойств;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в виде макета в уменьшенном или значительно увеличенном масштабе, не позволяющем использовать его в качестве соответствующего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в виде муляжа, воспроизводящего только внешний вид холодного или метательного оружия и лишенного полностью боевых свойств.</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 ТЕХНИЧЕСКИЕ ХАРАКТЕРИСТИКИ.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5.1. Настоящий ГОСТ Р на изготовление различных образцов декоративных и сувенирных изделий, сходных по внешнему строению с образцам холодного клинкового оружия устанавливает следующие требования, обеспечивающие изготовление указанных изделий, не обладающих боевыми свойствами: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5.1.1. Применение для изготовления материалов (металлов, пластмассы и др.), не обеспечивающих боевые свойства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5.1.2. Крепление хвостовика клинка с рукоятью у изделий, имитирующих длинноклинковое оружие из соответствующих боевым клинкам материалов должно быть существенно ослаблено:</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5.1.2.1. Искусственным утоньшением сечения хвостовика в месте соединения с клинком (в опасном сечении);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5.1.2.2. Примененными для крепления хрупкими заливочными материалами, (типа сургуча и т.п.) так, чтобы изделие разрушалось при попытке использования его в качестве оружия;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5.1.2.3. Декоративные и сувенирные изделия, выполненные по типу длинноклинкового холодного оружия, могут быть изготовлены путем переделки боевого длинноклинкового холодного оружия, при этом ослабление конструкции осуществляется в результате нанесения значительного по глубине поперечного пропила на хвостовике в месте его соединения с клинком. Пропил должен обязательно пересекать ось хвостовика и своей глубиной обеспечивать разрушение изделия в этом месте при попытке использования его в качестве оружия. Для конкретных изделий величина пропила должна подбираться эмпирически;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5.1.3. Декоративные или сувенирные ножи с твердостью клинка свыше 25 HRC, изготовленные по типу ножей-танто, должны иметь специальную заточку, обеспечивающую снижение боевых свойств за счет формы острия клинка. Боковые грани острия клинка при виде сверху на обух должны иметь размеры не более 3 — 5 мм и угол схождения 75? — 90? (см. схему 1), а угол схождения обуха и лезвия данного ножа должен быть не менее 75? (см. схему 2).</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Схема 1.</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Схема 2.</w:t>
      </w:r>
    </w:p>
    <w:p w:rsidR="00000000" w:rsidDel="00000000" w:rsidP="00000000" w:rsidRDefault="00000000" w:rsidRPr="00000000">
      <w:pPr>
        <w:spacing w:after="300" w:line="276" w:lineRule="auto"/>
        <w:contextualSpacing w:val="0"/>
      </w:pPr>
      <w:r w:rsidDel="00000000" w:rsidR="00000000" w:rsidRPr="00000000">
        <w:rPr>
          <w:rtl w:val="0"/>
        </w:rPr>
        <w:t xml:space="preserve">Угол схождения боковых граней острия клинка. Угол схождения обуха и лезвия клинка.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5.1.4. Твердость клинка декоративного или сувенирного изделия, изготовленного по типу клинкового холодного оружия должна быть ниже — 25 HRC (за исключением п. 5.1.2);</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Требование данного ГОСТ Р не распространяться на клинковое антикварное оружие, твердость клинков, которого следует соотносить с данными твердости конкретных образцов с учетом технологии и времени их изготовления.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5.2. Настоящий ГОСТ Р на изготовление различных образцов декоративных или сувенирных изделий, изготовленных по типу холодного ударного, а также метательного (метаемого) оружия устанавливает следующие требования, обеспечивающие изготовление декоративных или сувенирных изделий, не обладающих боевыми свойствами: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5.2.1. Декоративные или сувенирные изделия, выполненные по типу ударного оружия, а также метательные ножи, сюрикены и т.п. должны изготавливаться только из материалов, обеспечивающих полное отсутствие у сувенирных изделий данного типа боевых свойств (пустотелые муляжи из папье-маше, пластмассы, резины, легкоплавких и мягких металлов, тонкого листового металла и т.п.);</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5.2.2. Декоративные или сувенирные изделия, выполненные по типу метательного оружия (луки, арбалеты) должны изготавливаться непригодными для поражения цели, что достигается применением соответствующих хрупких материалов для изготовления дуги арбалета (лука), тетивы с малым сопротивлением на разрыв, или конструктивными особенностями, например, отсутствием у арбалетов замка или спускового механизма и т.п.;</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5.2.3. Декоративные или сувенирные изделия, выполненные по типу метательного оружия (луки, арбалеты) должны иметь силу лука (усилие натяжения тетивы) не более 12 кг.</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5.3. Для изготовления декоративных или сувенирных изделий в уменьшенном масштабе могут применяться материалы, соответствующие материалам, из которых изготовляются имитируемые образцы холодного, в том числе ударного, метательного оружия. При этом масштаб изделия должен быть таким, при котором полностью устраняются боевые свойства. Масштаб конкретного изделия определяется изготовителем эмпирически.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5.4. Для изготовления декоративных или сувенирных изделий в увеличенном масштабе могут применяться материалы, соответствующие материалам, из которых изготавливаются имитируемые образцы холодного, метательного, ударного оружия. При этом масштаб изделия должен быть таким, при котором полностью устраняется возможность применения его в качестве оружия, гипертрофированные размеры которого связаны с неудобством удержания оружия, его увеличенной массой и др. Масштаб конкретного изделия определяется изготовителем эмпирически.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 МЕТОДЫ КОНТРОЛЯ.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6.1. Проверка внешнего вида декоративных или сувенирных изделий должна проводиться визуально.</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6.2. Проверка основных размеров должна производиться проверенным универсальным мерительным инструментом, обеспечивающим заданную точность, по действующей на предприятии-изготовителе нормативно-технической документации.</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Точность измерения: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линейных размеров — 0,1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определение массы — 0,1 г;</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 величины углов — 1 градус.</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6.3. Проверка твердости клинков производится на приборе для измерения твердости по методу Роквелла в соответствии с ГОСТ 9013-59 и со стандартами ИСО 2039/2-81; DIN 50103; ASTM E 18-74.</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6.4. Проверка силы лука декоративных или сувенирных изделий, выполненных по типу метательного оружия (луки, арбалеты) проводится с помощью динамометра или специального устройства.</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6.4. Декоративные или сувенирные изделия, изготовленные по типу длинноклинкового холодного оружия, в соответствии с п. п. 5.1.1 и 5.1.2 настоящего ГОСТ Р, не должны выдерживать без разрушения более 1-ого — 2-х ударов (соотносимых с ударами, рассчитанными на поражение человека, с энергией от 20-50 джоулей) поперек сухого соснового бревна диаметром 150 — 200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6.5. Для установления невозможности поражения цели декоративными или сувенирными изделиями, изготовленными по типу ударного оружия, проводятся в обязательном порядке испытания.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Определение ударной нагрузки, возникающей при ударах указанными изделиями, осуществляется с помощью приборов, используемых при исследовании холодного оружия ударно-раздробляющего действия. Максимальная сила удара такими изделиями не должна превышать 30 кгс/см.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6.6. Для установления невозможности поражения цели декоративными или сувенирными изделиями, изготовленными по типу метаемого оружия (метательные ножи, сюрикены и т.п.) проводятся в обязательном порядке испытания.</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Примечание. При этом определяются как размерные характеристики (например, длина лучей сюрикенов не должна превышать 8 мм), так и устанавливается невозможность целенаправленного метания данных изделий на дистанцию свыше 3-х метров. При попадании в цель данных предметов с трех метров относительная глубина повреждений, образующихся в результате испытаний, в мишени — сухой сосновой доске толщиной 30-50 мм (при поперечном расположении волокон) — не более 4 мм (относительная глубина повреждений в специальной пластиковой мишени, имитирующей мышечные ткани человека, не более 7 мм).</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6.7. Для определения способов крепления основных элементов конструкции декоративных или сувенирных изделий и оценки их надежности без разборки или разрушения объекта могут применяться переносные и стационарные рентгеновские установки, позволяющие изучать и фиксировать скрытые конструктивные особенности объекта в мягких или жестких рентгеновских лучах.</w:t>
      </w:r>
    </w:p>
    <w:p w:rsidR="00000000" w:rsidDel="00000000" w:rsidP="00000000" w:rsidRDefault="00000000" w:rsidRPr="00000000">
      <w:pPr>
        <w:spacing w:after="300" w:line="276" w:lineRule="auto"/>
        <w:contextualSpacing w:val="0"/>
        <w:jc w:val="both"/>
      </w:pPr>
      <w:r w:rsidDel="00000000" w:rsidR="00000000" w:rsidRPr="00000000">
        <w:rPr>
          <w:rtl w:val="0"/>
        </w:rPr>
        <w:t xml:space="preserve">6.8. При проведении исследований могут применяться также и другие приборы или устройства как стандартные, так и специально разработанные для обеспечения производства исследований холодного и метательного оружия, а также для проведения криминалистических сертификационных испытаний холодного и метательного оружия, специальных средств и изделий, имеющих внешнее сходство с холодным оружием. Предварительно указанные приборы и устройства должны пройти в установленном порядке проверку и быть рекомендованными для проведения экспертиз, исследований и испытаний.</w:t>
      </w:r>
    </w:p>
    <w:p w:rsidR="00000000" w:rsidDel="00000000" w:rsidP="00000000" w:rsidRDefault="00000000" w:rsidRPr="00000000">
      <w:pPr>
        <w:spacing w:line="276" w:lineRule="auto"/>
        <w:contextualSpacing w:val="0"/>
      </w:pPr>
      <w:r w:rsidDel="00000000" w:rsidR="00000000" w:rsidRPr="00000000">
        <w:rPr>
          <w:rtl w:val="0"/>
        </w:rPr>
      </w:r>
    </w:p>
    <w:sectPr>
      <w:pgSz w:h="16838" w:w="11906"/>
      <w:pgMar w:bottom="566.9291338582677" w:top="566.9291338582677" w:left="566.9291338582677" w:right="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